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INŻYNIERIA BIOMEDYCZNA, studia I stopnia, stacjonarne</w:t>
            </w:r>
            <w:bookmarkStart w:id="0" w:name="_GoBack"/>
            <w:bookmarkEnd w:id="0"/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CZWARTY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Efekty uczenia się przypisane do praktyki zawodowej w programie studiów na kierunku </w:t>
        <w:br/>
        <w:t>INŻYNIERIA BIOMEDYCZNA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wiedzę na temat eksploatacji, niezawodności, trwałości układów mechanicznych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IB1P_W17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zasady ochrony własności intelektualnej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IB1P_W20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ocenić funkcjonujące w zakładzie pracy rozwiązania techniczne.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IB1P_U09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zaprojektować urządzenie techniczne zgodnie ze specyfikacją.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IB1P_U10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przeanalizować działanie procesu i możliwość jego optymalizacji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IB1P_U11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świadomość roli inżyniera w zakresie propagowania nowoczesnych rozwiązań technicznych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IB1P_K04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funkcjonować w warunkach stresu, ryzyka i niepewności.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IB1P_K06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pracować samodzielnie i w zespole, przyjmując w nim różne funkcje.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IB1P_K05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5A73-C18D-4F45-A167-CD20F570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LibreOffice/6.4.5.2$Windows_X86_64 LibreOffice_project/a726b36747cf2001e06b58ad5db1aa3a9a1872d6</Application>
  <Pages>2</Pages>
  <Words>267</Words>
  <Characters>2539</Characters>
  <CharactersWithSpaces>2936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2026-01-26T14:19:34Z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