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INŻYNIERIA BIOMEDYCZNA, studia I stopnia, stacjonarne</w:t>
            </w:r>
            <w:bookmarkStart w:id="0" w:name="_GoBack"/>
            <w:bookmarkEnd w:id="0"/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TRZECI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Efekty uczenia się przypisane do praktyki zawodowej w programie studiów na kierunku </w:t>
        <w:br/>
        <w:t>INŻYNIERIA BIOMEDYCZNA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inżynierskie metody obliczeniowe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IB1P_W11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IB1P_W12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IB1P_W19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ugruntowaną wiedzę z zakresu informatyki, w tym grafiki komputerowej i analizy obrazów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IB1P_W07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wykorzystać specjalistyczne oprogramowanie oraz tworzyć własne aplikacje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przygotować dokumentację technologiczną, stosując przy tym grafikę inżynierską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IB1P_U05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IB1P_U12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IB1P_U21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otrafi oszacować koszt finalnego produktu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IB1P_U16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Rozumie pozatechniczne aspekty i skutki działalności inżynierskiej.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identyfikować i rozwiązywać dylematy wynikające z wpływu działań przedsiębiorstwa na otoczenie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IB1P_K06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AF9F-E76E-49B3-BB9A-57D27457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LibreOffice/6.4.5.2$Windows_X86_64 LibreOffice_project/a726b36747cf2001e06b58ad5db1aa3a9a1872d6</Application>
  <Pages>2</Pages>
  <Words>260</Words>
  <Characters>2505</Characters>
  <CharactersWithSpaces>2895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2026-01-26T14:19:22Z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